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2078951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b/>
          <w:bCs/>
          <w:sz w:val="26"/>
          <w:szCs w:val="26"/>
          <w:rtl/>
        </w:rPr>
      </w:pPr>
    </w:p>
    <w:p w14:paraId="7F6961A6" w14:textId="77777777" w:rsidR="00E13C27" w:rsidRDefault="008F6665" w:rsidP="00930EFE">
      <w:pPr>
        <w:pStyle w:val="David"/>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End w:id="3"/>
    </w:p>
    <w:p w14:paraId="7F6961AA" w14:textId="39F9D96B" w:rsidR="00E13C27" w:rsidRPr="00CF1AA2" w:rsidRDefault="007D585A" w:rsidP="0036422C">
      <w:pPr>
        <w:pStyle w:val="David"/>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line="240" w:lineRule="auto"/>
        <w:ind w:left="3544"/>
        <w:rPr>
          <w:rtl/>
        </w:rPr>
      </w:pPr>
      <w:r>
        <w:t xml:space="preserve">                                            </w:t>
      </w:r>
      <w:r w:rsidR="008F1308">
        <w:t xml:space="preserve"> </w:t>
      </w:r>
      <w:bookmarkStart w:id="6" w:name="Private_Number"/>
      <w:r>
        <w:rPr>
          <w:rFonts w:hint="cs"/>
          <w:rtl/>
        </w:rPr>
        <w:t>פ/212/21</w:t>
      </w:r>
      <w:bookmarkEnd w:id="6"/>
    </w:p>
    <w:p w14:paraId="7F6961AC" w14:textId="77777777" w:rsidR="00E13C27" w:rsidRDefault="00E13C27" w:rsidP="00E13C27">
      <w:pPr>
        <w:ind w:left="2880" w:firstLine="720"/>
        <w:rPr>
          <w:sz w:val="26"/>
          <w:szCs w:val="26"/>
          <w:rtl/>
        </w:rPr>
      </w:pPr>
    </w:p>
    <w:p w14:paraId="7F6961AD" w14:textId="77777777" w:rsidR="00E13C27" w:rsidRDefault="00A443CF" w:rsidP="0021633A">
      <w:pPr>
        <w:pStyle w:val="HeadHatzaotHok"/>
        <w:rPr>
          <w:rtl/>
        </w:rPr>
      </w:pPr>
      <w:bookmarkStart w:id="7" w:name="LGS_Subject"/>
      <w:r>
        <w:rPr>
          <w:rFonts w:hint="cs"/>
          <w:rtl/>
        </w:rPr>
        <w:t xml:space="preserve">הצעת חוק ארוחה יומית לתלמיד (תיקון – הרחבת תחולת החוק), התשע"ט–2019 </w:t>
      </w:r>
      <w:bookmarkEnd w:id="7"/>
    </w:p>
    <w:p w14:paraId="78C0080F" w14:textId="77777777" w:rsidR="007A7557" w:rsidRPr="00F67051" w:rsidRDefault="007A7557" w:rsidP="0021633A">
      <w:pPr>
        <w:pStyle w:val="HeadHatzaotHok"/>
        <w:rPr>
          <w:rtl/>
        </w:rPr>
      </w:pP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19"/>
      </w:tblGrid>
      <w:tr w:rsidR="006D30C8" w:rsidRPr="00601D82" w14:paraId="7BB2C8C2" w14:textId="77777777" w:rsidTr="00166E18">
        <w:trPr>
          <w:cantSplit/>
        </w:trPr>
        <w:tc>
          <w:tcPr>
            <w:tcW w:w="1871" w:type="dxa"/>
            <w:hideMark/>
          </w:tcPr>
          <w:p w14:paraId="2FF240EE" w14:textId="77777777" w:rsidR="006D30C8" w:rsidRDefault="006D30C8" w:rsidP="00C57399">
            <w:pPr>
              <w:pStyle w:val="TableSideHeading"/>
            </w:pPr>
            <w:r>
              <w:rPr>
                <w:rFonts w:hint="cs"/>
                <w:rtl/>
              </w:rPr>
              <w:t>תיקון סעיף 2א</w:t>
            </w:r>
          </w:p>
        </w:tc>
        <w:tc>
          <w:tcPr>
            <w:tcW w:w="624" w:type="dxa"/>
            <w:hideMark/>
          </w:tcPr>
          <w:p w14:paraId="7BB1BBD4" w14:textId="77777777" w:rsidR="006D30C8" w:rsidRDefault="006D30C8" w:rsidP="00C57399">
            <w:pPr>
              <w:pStyle w:val="TableText"/>
            </w:pPr>
            <w:r>
              <w:rPr>
                <w:rFonts w:hint="cs"/>
                <w:rtl/>
              </w:rPr>
              <w:t xml:space="preserve">1. </w:t>
            </w:r>
          </w:p>
        </w:tc>
        <w:tc>
          <w:tcPr>
            <w:tcW w:w="7143" w:type="dxa"/>
            <w:gridSpan w:val="2"/>
            <w:hideMark/>
          </w:tcPr>
          <w:p w14:paraId="6C7FBE42" w14:textId="77777777" w:rsidR="006D30C8" w:rsidRPr="00601D82" w:rsidRDefault="006D30C8" w:rsidP="00166E18">
            <w:pPr>
              <w:pStyle w:val="TableBlock"/>
            </w:pPr>
            <w:r w:rsidRPr="00FB6E40">
              <w:rPr>
                <w:rFonts w:hint="cs"/>
                <w:rtl/>
              </w:rPr>
              <w:t>בחוק ארוחה יומית לתלמיד, התשס"ה–2005</w:t>
            </w:r>
            <w:r w:rsidRPr="00166E18">
              <w:rPr>
                <w:rFonts w:ascii="David" w:hAnsi="David"/>
                <w:sz w:val="26"/>
                <w:vertAlign w:val="superscript"/>
                <w:rtl/>
              </w:rPr>
              <w:footnoteReference w:id="2"/>
            </w:r>
            <w:r w:rsidRPr="00117A7A">
              <w:rPr>
                <w:vertAlign w:val="superscript"/>
                <w:rtl/>
              </w:rPr>
              <w:t xml:space="preserve"> </w:t>
            </w:r>
            <w:r w:rsidRPr="00FB6E40">
              <w:rPr>
                <w:rFonts w:hint="cs"/>
                <w:rtl/>
              </w:rPr>
              <w:t xml:space="preserve">(להלן – החוק העיקרי), בסעיף 2א </w:t>
            </w:r>
            <w:r w:rsidRPr="00FB6E40">
              <w:rPr>
                <w:rFonts w:hint="eastAsia"/>
                <w:rtl/>
              </w:rPr>
              <w:t>–</w:t>
            </w:r>
            <w:r w:rsidRPr="00FB6E40">
              <w:rPr>
                <w:rFonts w:hint="cs"/>
                <w:rtl/>
              </w:rPr>
              <w:t xml:space="preserve"> </w:t>
            </w:r>
          </w:p>
        </w:tc>
      </w:tr>
      <w:tr w:rsidR="006D30C8" w:rsidRPr="00CF4789" w14:paraId="2BB983C7" w14:textId="77777777" w:rsidTr="00166E18">
        <w:trPr>
          <w:cantSplit/>
        </w:trPr>
        <w:tc>
          <w:tcPr>
            <w:tcW w:w="1871" w:type="dxa"/>
          </w:tcPr>
          <w:p w14:paraId="14CCB224" w14:textId="77777777" w:rsidR="006D30C8" w:rsidRDefault="006D30C8" w:rsidP="00C57399">
            <w:pPr>
              <w:pStyle w:val="TableSideHeading"/>
              <w:rPr>
                <w:rtl/>
              </w:rPr>
            </w:pPr>
          </w:p>
        </w:tc>
        <w:tc>
          <w:tcPr>
            <w:tcW w:w="624" w:type="dxa"/>
          </w:tcPr>
          <w:p w14:paraId="0BDAC5B4" w14:textId="77777777" w:rsidR="006D30C8" w:rsidDel="006E6F56" w:rsidRDefault="006D30C8" w:rsidP="00C57399">
            <w:pPr>
              <w:pStyle w:val="TableText"/>
              <w:rPr>
                <w:rtl/>
              </w:rPr>
            </w:pPr>
          </w:p>
        </w:tc>
        <w:tc>
          <w:tcPr>
            <w:tcW w:w="7143" w:type="dxa"/>
            <w:gridSpan w:val="2"/>
          </w:tcPr>
          <w:p w14:paraId="62DF4DD3" w14:textId="1BE00991" w:rsidR="006D30C8" w:rsidRPr="00CF4789" w:rsidRDefault="006D30C8" w:rsidP="00166E18">
            <w:pPr>
              <w:pStyle w:val="TableBlock"/>
              <w:rPr>
                <w:rtl/>
              </w:rPr>
            </w:pPr>
            <w:r w:rsidRPr="00CF4789">
              <w:rPr>
                <w:rtl/>
              </w:rPr>
              <w:t>(1)</w:t>
            </w:r>
            <w:r w:rsidRPr="00CF4789">
              <w:rPr>
                <w:rtl/>
              </w:rPr>
              <w:tab/>
            </w:r>
            <w:r w:rsidRPr="00CF4789">
              <w:rPr>
                <w:rFonts w:hint="eastAsia"/>
                <w:rtl/>
              </w:rPr>
              <w:t>במקום</w:t>
            </w:r>
            <w:r w:rsidR="00166E18">
              <w:rPr>
                <w:rFonts w:hint="cs"/>
                <w:rtl/>
              </w:rPr>
              <w:t xml:space="preserve"> האמור ב</w:t>
            </w:r>
            <w:r w:rsidRPr="00CF4789">
              <w:rPr>
                <w:rFonts w:hint="eastAsia"/>
                <w:rtl/>
              </w:rPr>
              <w:t>סעיף</w:t>
            </w:r>
            <w:r w:rsidRPr="00CF4789">
              <w:rPr>
                <w:rtl/>
              </w:rPr>
              <w:t xml:space="preserve"> </w:t>
            </w:r>
            <w:r w:rsidRPr="00CF4789">
              <w:rPr>
                <w:rFonts w:hint="eastAsia"/>
                <w:rtl/>
              </w:rPr>
              <w:t>קטן</w:t>
            </w:r>
            <w:r w:rsidRPr="00CF4789">
              <w:rPr>
                <w:rtl/>
              </w:rPr>
              <w:t xml:space="preserve"> (א) </w:t>
            </w:r>
            <w:r w:rsidRPr="00CF4789">
              <w:rPr>
                <w:rFonts w:hint="eastAsia"/>
                <w:rtl/>
              </w:rPr>
              <w:t>יבוא</w:t>
            </w:r>
            <w:r w:rsidRPr="00CF4789">
              <w:rPr>
                <w:rtl/>
              </w:rPr>
              <w:t>:</w:t>
            </w:r>
          </w:p>
        </w:tc>
      </w:tr>
      <w:tr w:rsidR="006D30C8" w14:paraId="2A7E53D4" w14:textId="77777777" w:rsidTr="00166E18">
        <w:trPr>
          <w:cantSplit/>
        </w:trPr>
        <w:tc>
          <w:tcPr>
            <w:tcW w:w="1871" w:type="dxa"/>
          </w:tcPr>
          <w:p w14:paraId="070120E5" w14:textId="77777777" w:rsidR="006D30C8" w:rsidRDefault="006D30C8" w:rsidP="00C57399">
            <w:pPr>
              <w:pStyle w:val="TableSideHeading"/>
            </w:pPr>
          </w:p>
        </w:tc>
        <w:tc>
          <w:tcPr>
            <w:tcW w:w="624" w:type="dxa"/>
          </w:tcPr>
          <w:p w14:paraId="51579C20" w14:textId="77777777" w:rsidR="006D30C8" w:rsidRDefault="006D30C8" w:rsidP="00C57399">
            <w:pPr>
              <w:pStyle w:val="TableText"/>
            </w:pPr>
          </w:p>
        </w:tc>
        <w:tc>
          <w:tcPr>
            <w:tcW w:w="624" w:type="dxa"/>
          </w:tcPr>
          <w:p w14:paraId="290D548A" w14:textId="77777777" w:rsidR="006D30C8" w:rsidRDefault="006D30C8" w:rsidP="00C57399">
            <w:pPr>
              <w:pStyle w:val="TableText"/>
            </w:pPr>
          </w:p>
        </w:tc>
        <w:tc>
          <w:tcPr>
            <w:tcW w:w="6519" w:type="dxa"/>
          </w:tcPr>
          <w:p w14:paraId="7F70EE99" w14:textId="77777777" w:rsidR="006D30C8" w:rsidRDefault="006D30C8" w:rsidP="00166E18">
            <w:pPr>
              <w:pStyle w:val="TableBlock"/>
            </w:pPr>
            <w:r w:rsidRPr="00FB6E40">
              <w:rPr>
                <w:rFonts w:hint="cs"/>
                <w:rtl/>
              </w:rPr>
              <w:t>"(א)</w:t>
            </w:r>
            <w:r w:rsidRPr="00FB6E40">
              <w:rPr>
                <w:rtl/>
              </w:rPr>
              <w:tab/>
            </w:r>
            <w:r w:rsidRPr="00FB6E40">
              <w:rPr>
                <w:rFonts w:hint="cs"/>
                <w:rtl/>
              </w:rPr>
              <w:t>בגן חובה ובבית ספר יסודי שמתקיים בהם שבוע לימודים של 37 שעות לימוד לפחות, תינתן ארוחה יומית לתלמידים בימים שבהם מתקיימות במוסד החינוך שבע שעות לימוד לפחות; מתן הארוחות יחל לא יאוחר מיום א'</w:t>
            </w:r>
            <w:r w:rsidRPr="002066B4">
              <w:rPr>
                <w:rFonts w:hint="cs"/>
                <w:rtl/>
              </w:rPr>
              <w:t xml:space="preserve"> בחשוון בכל שנת לימודים.";</w:t>
            </w:r>
          </w:p>
        </w:tc>
      </w:tr>
      <w:tr w:rsidR="006D30C8" w:rsidRPr="00CF4789" w14:paraId="640F139A" w14:textId="77777777" w:rsidTr="00166E18">
        <w:trPr>
          <w:cantSplit/>
        </w:trPr>
        <w:tc>
          <w:tcPr>
            <w:tcW w:w="1871" w:type="dxa"/>
          </w:tcPr>
          <w:p w14:paraId="4B62A363" w14:textId="77777777" w:rsidR="006D30C8" w:rsidRDefault="006D30C8" w:rsidP="00C57399">
            <w:pPr>
              <w:pStyle w:val="TableSideHeading"/>
              <w:rPr>
                <w:rtl/>
              </w:rPr>
            </w:pPr>
          </w:p>
        </w:tc>
        <w:tc>
          <w:tcPr>
            <w:tcW w:w="624" w:type="dxa"/>
          </w:tcPr>
          <w:p w14:paraId="2222EFB9" w14:textId="77777777" w:rsidR="006D30C8" w:rsidDel="006E6F56" w:rsidRDefault="006D30C8" w:rsidP="00C57399">
            <w:pPr>
              <w:pStyle w:val="TableText"/>
              <w:rPr>
                <w:rtl/>
              </w:rPr>
            </w:pPr>
          </w:p>
        </w:tc>
        <w:tc>
          <w:tcPr>
            <w:tcW w:w="7143" w:type="dxa"/>
            <w:gridSpan w:val="2"/>
          </w:tcPr>
          <w:p w14:paraId="31534F1F" w14:textId="77777777" w:rsidR="006D30C8" w:rsidRPr="00CF4789" w:rsidRDefault="006D30C8" w:rsidP="00166E18">
            <w:pPr>
              <w:pStyle w:val="TableBlock"/>
              <w:rPr>
                <w:rtl/>
              </w:rPr>
            </w:pPr>
            <w:r w:rsidRPr="00CF4789">
              <w:rPr>
                <w:rtl/>
              </w:rPr>
              <w:t>(2)</w:t>
            </w:r>
            <w:r w:rsidRPr="00CF4789">
              <w:rPr>
                <w:rtl/>
              </w:rPr>
              <w:tab/>
            </w:r>
            <w:r w:rsidRPr="00CF4789">
              <w:rPr>
                <w:rFonts w:hint="eastAsia"/>
                <w:rtl/>
              </w:rPr>
              <w:t>סעיף</w:t>
            </w:r>
            <w:r w:rsidRPr="00CF4789">
              <w:rPr>
                <w:rtl/>
              </w:rPr>
              <w:t xml:space="preserve"> קטן (ג) – בטל.</w:t>
            </w:r>
          </w:p>
        </w:tc>
      </w:tr>
      <w:tr w:rsidR="006D30C8" w:rsidRPr="00FB6E40" w14:paraId="246E44BF" w14:textId="77777777" w:rsidTr="00166E18">
        <w:trPr>
          <w:cantSplit/>
        </w:trPr>
        <w:tc>
          <w:tcPr>
            <w:tcW w:w="1871" w:type="dxa"/>
            <w:hideMark/>
          </w:tcPr>
          <w:p w14:paraId="316FF5C1" w14:textId="77777777" w:rsidR="006D30C8" w:rsidRDefault="006D30C8" w:rsidP="00C57399">
            <w:pPr>
              <w:pStyle w:val="TableSideHeading"/>
            </w:pPr>
            <w:r>
              <w:rPr>
                <w:rFonts w:hint="cs"/>
                <w:rtl/>
              </w:rPr>
              <w:t>ביטול סעיף 4</w:t>
            </w:r>
          </w:p>
        </w:tc>
        <w:tc>
          <w:tcPr>
            <w:tcW w:w="624" w:type="dxa"/>
            <w:hideMark/>
          </w:tcPr>
          <w:p w14:paraId="2F33BBCA" w14:textId="77777777" w:rsidR="006D30C8" w:rsidRDefault="006D30C8" w:rsidP="00C57399">
            <w:pPr>
              <w:pStyle w:val="TableText"/>
              <w:jc w:val="both"/>
            </w:pPr>
            <w:r>
              <w:rPr>
                <w:rFonts w:hint="cs"/>
                <w:rtl/>
              </w:rPr>
              <w:t>2.</w:t>
            </w:r>
          </w:p>
        </w:tc>
        <w:tc>
          <w:tcPr>
            <w:tcW w:w="7143" w:type="dxa"/>
            <w:gridSpan w:val="2"/>
            <w:hideMark/>
          </w:tcPr>
          <w:p w14:paraId="6EB80394" w14:textId="77777777" w:rsidR="006D30C8" w:rsidRPr="00FB6E40" w:rsidRDefault="006D30C8" w:rsidP="00166E18">
            <w:pPr>
              <w:pStyle w:val="TableBlock"/>
            </w:pPr>
            <w:r w:rsidRPr="00FB6E40">
              <w:rPr>
                <w:rFonts w:hint="cs"/>
                <w:rtl/>
              </w:rPr>
              <w:t xml:space="preserve">סעיף 4 לחוק העיקרי – בטל. </w:t>
            </w:r>
          </w:p>
        </w:tc>
      </w:tr>
      <w:tr w:rsidR="006D30C8" w:rsidRPr="00FB6E40" w14:paraId="0337DF10" w14:textId="77777777" w:rsidTr="00166E18">
        <w:trPr>
          <w:cantSplit/>
        </w:trPr>
        <w:tc>
          <w:tcPr>
            <w:tcW w:w="1871" w:type="dxa"/>
            <w:hideMark/>
          </w:tcPr>
          <w:p w14:paraId="35501028" w14:textId="77777777" w:rsidR="006D30C8" w:rsidRDefault="006D30C8" w:rsidP="00C57399">
            <w:pPr>
              <w:pStyle w:val="TableSideHeading"/>
            </w:pPr>
            <w:r>
              <w:rPr>
                <w:rFonts w:hint="cs"/>
                <w:rtl/>
              </w:rPr>
              <w:t>תיקון סעיף 5</w:t>
            </w:r>
          </w:p>
        </w:tc>
        <w:tc>
          <w:tcPr>
            <w:tcW w:w="624" w:type="dxa"/>
            <w:hideMark/>
          </w:tcPr>
          <w:p w14:paraId="5B888DEB" w14:textId="77777777" w:rsidR="006D30C8" w:rsidRDefault="006D30C8" w:rsidP="00C57399">
            <w:pPr>
              <w:pStyle w:val="TableText"/>
              <w:jc w:val="both"/>
            </w:pPr>
            <w:r>
              <w:rPr>
                <w:rFonts w:hint="cs"/>
                <w:rtl/>
              </w:rPr>
              <w:t>3.</w:t>
            </w:r>
          </w:p>
        </w:tc>
        <w:tc>
          <w:tcPr>
            <w:tcW w:w="7143" w:type="dxa"/>
            <w:gridSpan w:val="2"/>
            <w:hideMark/>
          </w:tcPr>
          <w:p w14:paraId="20B963D6" w14:textId="77777777" w:rsidR="006D30C8" w:rsidRPr="00FB6E40" w:rsidRDefault="006D30C8" w:rsidP="00166E18">
            <w:pPr>
              <w:pStyle w:val="TableBlock"/>
            </w:pPr>
            <w:r w:rsidRPr="00FB6E40">
              <w:rPr>
                <w:rFonts w:hint="cs"/>
                <w:rtl/>
              </w:rPr>
              <w:t>בסעיף 5 לחוק העיקרי, אחרי סעיף קטן (ד) יבוא:</w:t>
            </w:r>
          </w:p>
        </w:tc>
      </w:tr>
      <w:tr w:rsidR="006D30C8" w:rsidRPr="00FB6E40" w14:paraId="1E292B4D" w14:textId="77777777" w:rsidTr="00166E18">
        <w:trPr>
          <w:cantSplit/>
        </w:trPr>
        <w:tc>
          <w:tcPr>
            <w:tcW w:w="1871" w:type="dxa"/>
          </w:tcPr>
          <w:p w14:paraId="117525E2" w14:textId="77777777" w:rsidR="006D30C8" w:rsidRDefault="006D30C8" w:rsidP="00C57399">
            <w:pPr>
              <w:pStyle w:val="TableSideHeading"/>
            </w:pPr>
          </w:p>
        </w:tc>
        <w:tc>
          <w:tcPr>
            <w:tcW w:w="624" w:type="dxa"/>
          </w:tcPr>
          <w:p w14:paraId="563B0401" w14:textId="77777777" w:rsidR="006D30C8" w:rsidRDefault="006D30C8" w:rsidP="00C57399">
            <w:pPr>
              <w:pStyle w:val="TableText"/>
            </w:pPr>
          </w:p>
        </w:tc>
        <w:tc>
          <w:tcPr>
            <w:tcW w:w="7143" w:type="dxa"/>
            <w:gridSpan w:val="2"/>
            <w:hideMark/>
          </w:tcPr>
          <w:p w14:paraId="31156DFC" w14:textId="77777777" w:rsidR="006D30C8" w:rsidRPr="00FB6E40" w:rsidRDefault="006D30C8" w:rsidP="00166E18">
            <w:pPr>
              <w:pStyle w:val="TableBlock"/>
            </w:pPr>
            <w:r w:rsidRPr="00FB6E40">
              <w:rPr>
                <w:rFonts w:hint="cs"/>
                <w:rtl/>
              </w:rPr>
              <w:t>"(ה)</w:t>
            </w:r>
            <w:r w:rsidRPr="00FB6E40">
              <w:rPr>
                <w:rFonts w:hint="cs"/>
                <w:rtl/>
              </w:rPr>
              <w:tab/>
              <w:t>על אף האמור בסעיף 13(א) לחוק יסודות התקציב, התשמ"ה–1985</w:t>
            </w:r>
            <w:r w:rsidRPr="00166E18">
              <w:rPr>
                <w:rFonts w:ascii="David" w:hAnsi="David"/>
                <w:sz w:val="26"/>
                <w:vertAlign w:val="superscript"/>
                <w:rtl/>
              </w:rPr>
              <w:footnoteReference w:id="3"/>
            </w:r>
            <w:r w:rsidRPr="00FB6E40">
              <w:rPr>
                <w:rFonts w:hint="cs"/>
                <w:rtl/>
              </w:rPr>
              <w:t>, נותר בסיום שנת הכספים סכום בתכנית כאמור בסעיף קטן (א), י</w:t>
            </w:r>
            <w:r>
              <w:rPr>
                <w:rFonts w:hint="cs"/>
                <w:rtl/>
              </w:rPr>
              <w:t>ת</w:t>
            </w:r>
            <w:r w:rsidRPr="00FB6E40">
              <w:rPr>
                <w:rFonts w:hint="cs"/>
                <w:rtl/>
              </w:rPr>
              <w:t>ווסף סכום זה לתכנית של שנת הכספים שלאחריה.</w:t>
            </w:r>
          </w:p>
        </w:tc>
      </w:tr>
      <w:tr w:rsidR="006D30C8" w:rsidRPr="00FB6E40" w14:paraId="45BF07E9" w14:textId="77777777" w:rsidTr="00166E18">
        <w:trPr>
          <w:cantSplit/>
        </w:trPr>
        <w:tc>
          <w:tcPr>
            <w:tcW w:w="1871" w:type="dxa"/>
          </w:tcPr>
          <w:p w14:paraId="2C6ED8C7" w14:textId="77777777" w:rsidR="006D30C8" w:rsidRDefault="006D30C8" w:rsidP="00C57399">
            <w:pPr>
              <w:pStyle w:val="TableSideHeading"/>
            </w:pPr>
          </w:p>
        </w:tc>
        <w:tc>
          <w:tcPr>
            <w:tcW w:w="624" w:type="dxa"/>
          </w:tcPr>
          <w:p w14:paraId="337F1FCA" w14:textId="77777777" w:rsidR="006D30C8" w:rsidRDefault="006D30C8" w:rsidP="00C57399">
            <w:pPr>
              <w:pStyle w:val="TableText"/>
              <w:jc w:val="both"/>
            </w:pPr>
          </w:p>
        </w:tc>
        <w:tc>
          <w:tcPr>
            <w:tcW w:w="7143" w:type="dxa"/>
            <w:gridSpan w:val="2"/>
            <w:hideMark/>
          </w:tcPr>
          <w:p w14:paraId="2EF34587" w14:textId="77777777" w:rsidR="006D30C8" w:rsidRPr="00FB6E40" w:rsidRDefault="006D30C8" w:rsidP="00166E18">
            <w:pPr>
              <w:pStyle w:val="TableBlock"/>
            </w:pPr>
            <w:r w:rsidRPr="00FB6E40">
              <w:rPr>
                <w:rFonts w:hint="cs"/>
                <w:rtl/>
              </w:rPr>
              <w:t>(ו)</w:t>
            </w:r>
            <w:r w:rsidRPr="00FB6E40">
              <w:rPr>
                <w:rFonts w:hint="cs"/>
                <w:rtl/>
              </w:rPr>
              <w:tab/>
              <w:t>לא השתתפה רשות החינוך המקומית במימון מפעל ההזנה כאמור בסעיף קטן (ב), רשאית המדינה שלא להעביר לה הקצבות למפעל ההזנה; החליטה המדינה כאמור, יועברו כספי הקצבות מפעל ההזנה לחשבון כפי שיורה השר, ורשאי הוא למנות אדם מטעמו לנהל חשבון זה כדי לממש את השתתפות רשות החינוך המקומית במפעל ההזנה</w:t>
            </w:r>
            <w:r w:rsidRPr="00CF4789">
              <w:rPr>
                <w:rtl/>
              </w:rPr>
              <w:t>.</w:t>
            </w:r>
          </w:p>
        </w:tc>
      </w:tr>
      <w:tr w:rsidR="006D30C8" w:rsidRPr="00601D82" w14:paraId="7B8FA69B" w14:textId="77777777" w:rsidTr="00166E18">
        <w:trPr>
          <w:cantSplit/>
        </w:trPr>
        <w:tc>
          <w:tcPr>
            <w:tcW w:w="1871" w:type="dxa"/>
          </w:tcPr>
          <w:p w14:paraId="4C9F5481" w14:textId="77777777" w:rsidR="006D30C8" w:rsidRDefault="006D30C8" w:rsidP="00C57399">
            <w:pPr>
              <w:pStyle w:val="TableSideHeading"/>
            </w:pPr>
          </w:p>
        </w:tc>
        <w:tc>
          <w:tcPr>
            <w:tcW w:w="624" w:type="dxa"/>
          </w:tcPr>
          <w:p w14:paraId="1779B10F" w14:textId="77777777" w:rsidR="006D30C8" w:rsidRDefault="006D30C8" w:rsidP="00C57399">
            <w:pPr>
              <w:pStyle w:val="TableText"/>
              <w:jc w:val="both"/>
            </w:pPr>
          </w:p>
        </w:tc>
        <w:tc>
          <w:tcPr>
            <w:tcW w:w="7143" w:type="dxa"/>
            <w:gridSpan w:val="2"/>
            <w:hideMark/>
          </w:tcPr>
          <w:p w14:paraId="328A37E9" w14:textId="77777777" w:rsidR="006D30C8" w:rsidRPr="00601D82" w:rsidRDefault="006D30C8" w:rsidP="00166E18">
            <w:pPr>
              <w:pStyle w:val="TableBlock"/>
            </w:pPr>
            <w:r w:rsidRPr="00FB6E40">
              <w:rPr>
                <w:rFonts w:hint="cs"/>
                <w:rtl/>
              </w:rPr>
              <w:t>(ז)</w:t>
            </w:r>
            <w:r w:rsidRPr="00FB6E40">
              <w:rPr>
                <w:rFonts w:hint="cs"/>
                <w:rtl/>
              </w:rPr>
              <w:tab/>
              <w:t xml:space="preserve">לא השתתפה רשות החינוך המקומית במימון מפעל ההזנה כאמור בסעיף קטן (ב), רשאי שר הפנים, בהתייעצות עם השר, להפחית מסכום המענק שקבע שר הפנים לרשות המקומית שהיא רשות החינוך המקומית, סכום הזהה לשיעור ההשתתפות במימון מפעל ההזנה שנקבע לרשות החינוך המקומית בהתאם לסעיף 6 וכן רשאי הוא, בהסכמת שר האוצר, להפחית סכום זה מכל סכום </w:t>
            </w:r>
            <w:r w:rsidRPr="00601D82">
              <w:rPr>
                <w:rFonts w:hint="cs"/>
                <w:rtl/>
              </w:rPr>
              <w:t>המועבר לרשות המקומית מהממשלה.</w:t>
            </w:r>
          </w:p>
        </w:tc>
      </w:tr>
      <w:tr w:rsidR="006D30C8" w:rsidRPr="00601D82" w14:paraId="68300C34" w14:textId="77777777" w:rsidTr="00166E18">
        <w:trPr>
          <w:cantSplit/>
        </w:trPr>
        <w:tc>
          <w:tcPr>
            <w:tcW w:w="1871" w:type="dxa"/>
          </w:tcPr>
          <w:p w14:paraId="50F774A7" w14:textId="77777777" w:rsidR="006D30C8" w:rsidRDefault="006D30C8" w:rsidP="00C57399">
            <w:pPr>
              <w:pStyle w:val="TableSideHeading"/>
            </w:pPr>
          </w:p>
        </w:tc>
        <w:tc>
          <w:tcPr>
            <w:tcW w:w="624" w:type="dxa"/>
          </w:tcPr>
          <w:p w14:paraId="40431DAF" w14:textId="77777777" w:rsidR="006D30C8" w:rsidRDefault="006D30C8" w:rsidP="00C57399">
            <w:pPr>
              <w:pStyle w:val="TableText"/>
              <w:jc w:val="both"/>
            </w:pPr>
          </w:p>
        </w:tc>
        <w:tc>
          <w:tcPr>
            <w:tcW w:w="7143" w:type="dxa"/>
            <w:gridSpan w:val="2"/>
            <w:hideMark/>
          </w:tcPr>
          <w:p w14:paraId="69D69571" w14:textId="77777777" w:rsidR="006D30C8" w:rsidRPr="00601D82" w:rsidRDefault="006D30C8" w:rsidP="00166E18">
            <w:pPr>
              <w:pStyle w:val="TableBlock"/>
            </w:pPr>
            <w:r w:rsidRPr="00FB6E40">
              <w:rPr>
                <w:rFonts w:hint="cs"/>
                <w:rtl/>
              </w:rPr>
              <w:t>(ח)</w:t>
            </w:r>
            <w:r w:rsidRPr="00FB6E40">
              <w:rPr>
                <w:rFonts w:hint="cs"/>
                <w:rtl/>
              </w:rPr>
              <w:tab/>
              <w:t>האמור בסעיף קטן (ז) יחול, בשינויים המחויבים, אף במקום בו לא היתה רשות החינוך המקומית רשות מקומית."</w:t>
            </w:r>
          </w:p>
        </w:tc>
      </w:tr>
    </w:tbl>
    <w:p w14:paraId="7F6961CA" w14:textId="77777777" w:rsidR="002D1EE3" w:rsidRPr="00166E18" w:rsidRDefault="002D1EE3" w:rsidP="00166E18">
      <w:pPr>
        <w:pStyle w:val="HeadDivreiHesber"/>
        <w:rPr>
          <w:rtl/>
        </w:rPr>
      </w:pPr>
      <w:r w:rsidRPr="00166E18">
        <w:rPr>
          <w:rFonts w:hint="cs"/>
          <w:rtl/>
        </w:rPr>
        <w:t>דברי הסבר</w:t>
      </w:r>
    </w:p>
    <w:p w14:paraId="07EB349F" w14:textId="77777777" w:rsidR="006D30C8" w:rsidRPr="00166E18" w:rsidRDefault="006D30C8" w:rsidP="007A7557">
      <w:pPr>
        <w:pStyle w:val="Hesber"/>
        <w:spacing w:line="276" w:lineRule="auto"/>
        <w:rPr>
          <w:rtl/>
        </w:rPr>
      </w:pPr>
      <w:r w:rsidRPr="00166E18">
        <w:rPr>
          <w:rFonts w:hint="cs"/>
          <w:rtl/>
        </w:rPr>
        <w:t xml:space="preserve">מטרת הצעת החוק היא להרחיב את מפעל ההזנה הקבוע כיום בחוק ארוחה יומית לתלמיד, התשס"ה–2005 (להלן – חוק ארוחה יומית), ולהבטיח כי רשויות חינוך מקומיות שבתחום שיפוטן מוסד חינוך שתלמידיו זכאים לארוחה, תפעלנה בהתאם לאמור בחוק. </w:t>
      </w:r>
    </w:p>
    <w:p w14:paraId="654E7AF8" w14:textId="77777777" w:rsidR="006D30C8" w:rsidRPr="00166E18" w:rsidRDefault="006D30C8" w:rsidP="007A7557">
      <w:pPr>
        <w:pStyle w:val="Hesber"/>
        <w:spacing w:line="276" w:lineRule="auto"/>
        <w:rPr>
          <w:rtl/>
        </w:rPr>
      </w:pPr>
      <w:r w:rsidRPr="00166E18">
        <w:rPr>
          <w:rFonts w:hint="cs"/>
          <w:rtl/>
        </w:rPr>
        <w:t xml:space="preserve">מוצע לבטל את ההבחנה, לצורך הזכאות לארוחה יומית, בין מוסדות חינוך שהוחל בהם יום חינוך ארוך לפי חוק יום חינוך ארוך ולימודי העשרה, התשנ"ז–1997 (להלן –  יום חינוך ארוך), ובין מוסדות שבהם לא הוחל יום חינוך ארוך. מוצע כי מפעל ההזנה יקיף כל מוסד חינוכי </w:t>
      </w:r>
      <w:r w:rsidRPr="00166E18">
        <w:rPr>
          <w:rtl/>
        </w:rPr>
        <w:t>–</w:t>
      </w:r>
      <w:r w:rsidRPr="00166E18">
        <w:rPr>
          <w:rFonts w:hint="cs"/>
          <w:rtl/>
        </w:rPr>
        <w:t xml:space="preserve"> רשמי, מוכר שאינו רשמי, ומוסד פטור שבו מתקיימות 37 שעות לימוד שבועיות לפחות, שכן זו כמות השעות המינימאלית הנדרשת לצורך זכאות לארוחה יומית אף כיום ולכן אין טעם מהותי להבחנה בין מוסד חינוך שהוחל בו יום חינוך ארוך, לבין כזה שלא הוחל בו – ובלבד שמתקיימות בו שעות הלימוד כאמור. </w:t>
      </w:r>
    </w:p>
    <w:p w14:paraId="0ED079AD" w14:textId="77777777" w:rsidR="006D30C8" w:rsidRPr="00166E18" w:rsidRDefault="006D30C8" w:rsidP="007A7557">
      <w:pPr>
        <w:pStyle w:val="Hesber"/>
        <w:spacing w:line="276" w:lineRule="auto"/>
        <w:rPr>
          <w:rtl/>
        </w:rPr>
      </w:pPr>
      <w:r w:rsidRPr="00166E18">
        <w:rPr>
          <w:rFonts w:hint="cs"/>
          <w:rtl/>
        </w:rPr>
        <w:t xml:space="preserve">כמו כן, בהצעת החוק מוצע לקבוע מנגנונים להעברת כספים להבטחת עמידת רשויות החינוך המקומיות בהוראות החוק, וניצול משאבי התקציב אשר מיועדים לביצועו.  </w:t>
      </w:r>
    </w:p>
    <w:p w14:paraId="6ED8A5CE" w14:textId="77777777" w:rsidR="006D30C8" w:rsidRPr="00166E18" w:rsidRDefault="006D30C8" w:rsidP="007A7557">
      <w:pPr>
        <w:pStyle w:val="Hesber"/>
        <w:spacing w:line="276" w:lineRule="auto"/>
        <w:rPr>
          <w:rtl/>
        </w:rPr>
      </w:pPr>
      <w:r w:rsidRPr="00166E18">
        <w:rPr>
          <w:rFonts w:hint="cs"/>
          <w:rtl/>
        </w:rPr>
        <w:t>מוצע כי כל סכום שהוקצב למפעל ההזנה בשנת כספים מסוימת ולא נוצל למטרה זו, יועבר לתקציב המוקצה למפעל ההזנה בשנת הכספים העוקבת. יש בהסדר זה כדי להבטיח כי כספים שהוקצבו לקיום מפעל ההזנה אכן ישמשו למטרה זו.</w:t>
      </w:r>
    </w:p>
    <w:p w14:paraId="085DC660" w14:textId="77777777" w:rsidR="006D30C8" w:rsidRPr="00166E18" w:rsidRDefault="006D30C8" w:rsidP="007A7557">
      <w:pPr>
        <w:pStyle w:val="Hesber"/>
        <w:spacing w:line="276" w:lineRule="auto"/>
        <w:rPr>
          <w:rtl/>
        </w:rPr>
      </w:pPr>
      <w:r w:rsidRPr="00166E18">
        <w:rPr>
          <w:rFonts w:hint="cs"/>
          <w:rtl/>
        </w:rPr>
        <w:t xml:space="preserve">לפי הדין כיום, על רשות חינוך מקומית להשתתף במימון מפעל ההזנה בתחומה לפי שיעור שייקבע בהתאם להוראות סעיף 6 לחוק. </w:t>
      </w:r>
    </w:p>
    <w:p w14:paraId="10901224" w14:textId="77777777" w:rsidR="006D30C8" w:rsidRPr="00166E18" w:rsidRDefault="006D30C8" w:rsidP="007A7557">
      <w:pPr>
        <w:pStyle w:val="Hesber"/>
        <w:spacing w:line="276" w:lineRule="auto"/>
        <w:rPr>
          <w:rtl/>
        </w:rPr>
      </w:pPr>
      <w:r w:rsidRPr="00166E18">
        <w:rPr>
          <w:rFonts w:hint="cs"/>
          <w:rtl/>
        </w:rPr>
        <w:t>בעקבות מקרים שבהם רשות מקומית לא עמדה בחובת השתתפותה כאמור, מוצע לקבוע סנקציות, ולפיהן רשות מקומית שלא תעמוד בחובת ההשתתפות, תהיה המדינה רשאית שלא להעביר לה הקצבות וכן יופחת סכום ההשתתפות מהמענק או מכל סכום אחר שמקבלת הרשות המקומית מהמדינה.</w:t>
      </w:r>
    </w:p>
    <w:p w14:paraId="0214AA93" w14:textId="77777777" w:rsidR="006D30C8" w:rsidRPr="007A7557" w:rsidRDefault="006D30C8" w:rsidP="007A7557">
      <w:pPr>
        <w:pStyle w:val="Hesber"/>
        <w:rPr>
          <w:rtl/>
        </w:rPr>
      </w:pPr>
      <w:r w:rsidRPr="00166E18">
        <w:rPr>
          <w:rFonts w:hint="cs"/>
          <w:rtl/>
        </w:rPr>
        <w:t xml:space="preserve">ההצעה מתייחסת גם למצבים שבהם רשות החינוך המקומית אינה רשות מקומית וכך תכסה הסנקציה את כלל הגופים אשר עשויים להיות "רשות חינוך מקומית", כהגדרתה בסעיף 1 לחוק לימוד </w:t>
      </w:r>
      <w:r w:rsidRPr="007A7557">
        <w:rPr>
          <w:rFonts w:hint="cs"/>
          <w:rtl/>
        </w:rPr>
        <w:t xml:space="preserve">חובה.  </w:t>
      </w:r>
    </w:p>
    <w:p w14:paraId="7F6961CB" w14:textId="13F7C050" w:rsidR="00E13C27" w:rsidRPr="007A7557" w:rsidRDefault="0083717A" w:rsidP="007A7557">
      <w:pPr>
        <w:pStyle w:val="Hesber"/>
        <w:rPr>
          <w:rtl/>
        </w:rPr>
      </w:pPr>
      <w:r w:rsidRPr="007A7557">
        <w:rPr>
          <w:rFonts w:hint="cs"/>
          <w:rtl/>
        </w:rPr>
        <w:t>הצעת חוק זהה הונחה על שולחן הכנסת העשרים על ידי חבר הכנסת מאיר כהן וחבר הכנסת ישראל אייכלר (פ/4155/20).</w:t>
      </w:r>
    </w:p>
    <w:p w14:paraId="43415634" w14:textId="77777777" w:rsidR="007A7557" w:rsidRPr="007A7557" w:rsidRDefault="007A7557" w:rsidP="007A7557">
      <w:pPr>
        <w:pStyle w:val="Hesber"/>
        <w:rPr>
          <w:rtl/>
        </w:rPr>
      </w:pPr>
    </w:p>
    <w:p w14:paraId="3C94D757" w14:textId="77777777" w:rsidR="007A7557" w:rsidRDefault="007A7557" w:rsidP="007A7557">
      <w:pPr>
        <w:pStyle w:val="Hesber"/>
        <w:spacing w:line="276" w:lineRule="auto"/>
        <w:ind w:firstLine="0"/>
        <w:rPr>
          <w:rtl/>
        </w:rPr>
      </w:pPr>
    </w:p>
    <w:p w14:paraId="3FEBC116" w14:textId="77777777" w:rsidR="007A7557" w:rsidRPr="00D73212" w:rsidRDefault="007A7557" w:rsidP="007A7557">
      <w:pPr>
        <w:pStyle w:val="Hesber"/>
        <w:spacing w:line="276" w:lineRule="auto"/>
        <w:rPr>
          <w:rtl/>
        </w:rPr>
      </w:pPr>
      <w:r w:rsidRPr="00D73212">
        <w:rPr>
          <w:rtl/>
        </w:rPr>
        <w:t>---------------------------------</w:t>
      </w:r>
    </w:p>
    <w:p w14:paraId="525B4BF9" w14:textId="77777777" w:rsidR="007A7557" w:rsidRPr="00D73212" w:rsidRDefault="007A7557" w:rsidP="007A7557">
      <w:pPr>
        <w:pStyle w:val="Hesber"/>
        <w:spacing w:line="276" w:lineRule="auto"/>
        <w:rPr>
          <w:rtl/>
        </w:rPr>
      </w:pPr>
      <w:r w:rsidRPr="00D73212">
        <w:rPr>
          <w:rFonts w:hint="cs"/>
          <w:rtl/>
        </w:rPr>
        <w:t>הוגשה</w:t>
      </w:r>
      <w:r w:rsidRPr="00D73212">
        <w:rPr>
          <w:rtl/>
        </w:rPr>
        <w:t xml:space="preserve"> </w:t>
      </w:r>
      <w:r w:rsidRPr="00D73212">
        <w:rPr>
          <w:rFonts w:hint="cs"/>
          <w:rtl/>
        </w:rPr>
        <w:t>ליו</w:t>
      </w:r>
      <w:r w:rsidRPr="00D73212">
        <w:rPr>
          <w:rtl/>
        </w:rPr>
        <w:t>"</w:t>
      </w:r>
      <w:r w:rsidRPr="00D73212">
        <w:rPr>
          <w:rFonts w:hint="cs"/>
          <w:rtl/>
        </w:rPr>
        <w:t>ר</w:t>
      </w:r>
      <w:r w:rsidRPr="00D73212">
        <w:rPr>
          <w:rtl/>
        </w:rPr>
        <w:t xml:space="preserve"> </w:t>
      </w:r>
      <w:r w:rsidRPr="00D73212">
        <w:rPr>
          <w:rFonts w:hint="cs"/>
          <w:rtl/>
        </w:rPr>
        <w:t>הכנסת</w:t>
      </w:r>
      <w:r w:rsidRPr="00D73212">
        <w:rPr>
          <w:rtl/>
        </w:rPr>
        <w:t xml:space="preserve"> </w:t>
      </w:r>
      <w:r w:rsidRPr="00D73212">
        <w:rPr>
          <w:rFonts w:hint="cs"/>
          <w:rtl/>
        </w:rPr>
        <w:t>והסגנים</w:t>
      </w:r>
    </w:p>
    <w:p w14:paraId="137E6747" w14:textId="77777777" w:rsidR="007A7557" w:rsidRPr="00D73212" w:rsidRDefault="007A7557" w:rsidP="007A7557">
      <w:pPr>
        <w:pStyle w:val="Hesber"/>
        <w:spacing w:line="276" w:lineRule="auto"/>
        <w:rPr>
          <w:rtl/>
        </w:rPr>
      </w:pPr>
      <w:r w:rsidRPr="00D73212">
        <w:rPr>
          <w:rFonts w:hint="cs"/>
          <w:rtl/>
        </w:rPr>
        <w:t>והונחה</w:t>
      </w:r>
      <w:r w:rsidRPr="00D73212">
        <w:rPr>
          <w:rtl/>
        </w:rPr>
        <w:t xml:space="preserve"> </w:t>
      </w:r>
      <w:r w:rsidRPr="00D73212">
        <w:rPr>
          <w:rFonts w:hint="cs"/>
          <w:rtl/>
        </w:rPr>
        <w:t>על</w:t>
      </w:r>
      <w:r w:rsidRPr="00D73212">
        <w:rPr>
          <w:rtl/>
        </w:rPr>
        <w:t xml:space="preserve"> </w:t>
      </w:r>
      <w:r w:rsidRPr="00D73212">
        <w:rPr>
          <w:rFonts w:hint="cs"/>
          <w:rtl/>
        </w:rPr>
        <w:t>שולחן</w:t>
      </w:r>
      <w:r w:rsidRPr="00D73212">
        <w:rPr>
          <w:rtl/>
        </w:rPr>
        <w:t xml:space="preserve"> </w:t>
      </w:r>
      <w:r w:rsidRPr="00D73212">
        <w:rPr>
          <w:rFonts w:hint="cs"/>
          <w:rtl/>
        </w:rPr>
        <w:t>הכנסת</w:t>
      </w:r>
      <w:r w:rsidRPr="00D73212">
        <w:rPr>
          <w:rtl/>
        </w:rPr>
        <w:t xml:space="preserve"> </w:t>
      </w:r>
      <w:r w:rsidRPr="00D73212">
        <w:rPr>
          <w:rFonts w:hint="cs"/>
          <w:rtl/>
        </w:rPr>
        <w:t>ביום</w:t>
      </w:r>
    </w:p>
    <w:p w14:paraId="7A0228FF" w14:textId="35160544" w:rsidR="007A7557" w:rsidRPr="007A7557" w:rsidRDefault="007A7557" w:rsidP="007A7557">
      <w:pPr>
        <w:pStyle w:val="Hesber"/>
        <w:spacing w:line="276" w:lineRule="auto"/>
        <w:rPr>
          <w:rtl/>
        </w:rPr>
      </w:pPr>
      <w:r>
        <w:rPr>
          <w:rFonts w:hint="cs"/>
          <w:rtl/>
        </w:rPr>
        <w:t>כ"ב באייר</w:t>
      </w:r>
      <w:r w:rsidRPr="00D73212">
        <w:rPr>
          <w:rtl/>
        </w:rPr>
        <w:t xml:space="preserve"> </w:t>
      </w:r>
      <w:r w:rsidRPr="00D73212">
        <w:rPr>
          <w:rFonts w:hint="cs"/>
          <w:rtl/>
        </w:rPr>
        <w:t>התשע</w:t>
      </w:r>
      <w:r w:rsidRPr="00D73212">
        <w:rPr>
          <w:rtl/>
        </w:rPr>
        <w:t>"</w:t>
      </w:r>
      <w:r>
        <w:rPr>
          <w:rFonts w:hint="cs"/>
          <w:rtl/>
        </w:rPr>
        <w:t xml:space="preserve">ט </w:t>
      </w:r>
      <w:r w:rsidRPr="00D73212">
        <w:rPr>
          <w:rtl/>
        </w:rPr>
        <w:t>–</w:t>
      </w:r>
      <w:r>
        <w:rPr>
          <w:rFonts w:hint="cs"/>
          <w:rtl/>
        </w:rPr>
        <w:t xml:space="preserve"> 27.5</w:t>
      </w:r>
      <w:r w:rsidRPr="00D73212">
        <w:rPr>
          <w:rtl/>
        </w:rPr>
        <w:t>.</w:t>
      </w:r>
      <w:r>
        <w:rPr>
          <w:rFonts w:hint="cs"/>
          <w:rtl/>
        </w:rPr>
        <w:t xml:space="preserve">19  </w:t>
      </w:r>
      <w:bookmarkStart w:id="8" w:name="_GoBack"/>
      <w:bookmarkEnd w:id="8"/>
    </w:p>
    <w:sectPr w:rsidR="007A7557" w:rsidRPr="007A7557" w:rsidSect="00166E18">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7A7557">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166E18">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16512646" w14:textId="77777777" w:rsidR="006D30C8" w:rsidRDefault="006D30C8" w:rsidP="006D30C8">
      <w:pPr>
        <w:pStyle w:val="a4"/>
        <w:rPr>
          <w:rtl/>
        </w:rPr>
      </w:pPr>
      <w:r>
        <w:rPr>
          <w:rStyle w:val="a6"/>
        </w:rPr>
        <w:footnoteRef/>
      </w:r>
      <w:r>
        <w:rPr>
          <w:rFonts w:hint="cs"/>
          <w:rtl/>
        </w:rPr>
        <w:t xml:space="preserve"> ס"ח התשס"ה, עמ' 70. </w:t>
      </w:r>
    </w:p>
  </w:footnote>
  <w:footnote w:id="3">
    <w:p w14:paraId="4235F6D0" w14:textId="77777777" w:rsidR="006D30C8" w:rsidRDefault="006D30C8" w:rsidP="006D30C8">
      <w:pPr>
        <w:pStyle w:val="a4"/>
      </w:pPr>
      <w:r>
        <w:rPr>
          <w:rStyle w:val="a6"/>
        </w:rPr>
        <w:footnoteRef/>
      </w:r>
      <w:r>
        <w:rPr>
          <w:rFonts w:hint="cs"/>
          <w:rtl/>
        </w:rPr>
        <w:t xml:space="preserve"> ס"ח התשמ"ה, עמ' 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66E18"/>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6D30C8"/>
    <w:rsid w:val="0070601E"/>
    <w:rsid w:val="00712C72"/>
    <w:rsid w:val="00735FE9"/>
    <w:rsid w:val="00763CAA"/>
    <w:rsid w:val="00765F66"/>
    <w:rsid w:val="0078664F"/>
    <w:rsid w:val="007A27CE"/>
    <w:rsid w:val="007A7557"/>
    <w:rsid w:val="007C3FA6"/>
    <w:rsid w:val="007D585A"/>
    <w:rsid w:val="007D5A12"/>
    <w:rsid w:val="007E59F9"/>
    <w:rsid w:val="00810BCD"/>
    <w:rsid w:val="00812C98"/>
    <w:rsid w:val="00814D92"/>
    <w:rsid w:val="0083181D"/>
    <w:rsid w:val="0083717A"/>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17B46407-DBEE-4BE3-A4AF-794DB46D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E18"/>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166E18"/>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166E18"/>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166E18"/>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166E18"/>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166E18"/>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166E18"/>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166E18"/>
    <w:rPr>
      <w:sz w:val="36"/>
      <w:szCs w:val="52"/>
    </w:rPr>
  </w:style>
  <w:style w:type="paragraph" w:customStyle="1" w:styleId="Cover3-Haknesset">
    <w:name w:val="Cover 3-Haknesset"/>
    <w:basedOn w:val="Cover1-Reshumot"/>
    <w:rsid w:val="00166E18"/>
    <w:rPr>
      <w:b/>
      <w:bCs/>
      <w:spacing w:val="60"/>
    </w:rPr>
  </w:style>
  <w:style w:type="paragraph" w:customStyle="1" w:styleId="Cover4-Date">
    <w:name w:val="Cover 4-Date"/>
    <w:basedOn w:val="a"/>
    <w:rsid w:val="00166E18"/>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166E18"/>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166E18"/>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166E18"/>
    <w:pPr>
      <w:spacing w:before="120" w:after="120"/>
    </w:pPr>
    <w:rPr>
      <w:color w:val="FF0000"/>
      <w:w w:val="80"/>
    </w:rPr>
  </w:style>
  <w:style w:type="paragraph" w:styleId="a3">
    <w:name w:val="endnote text"/>
    <w:basedOn w:val="a"/>
    <w:semiHidden/>
    <w:rsid w:val="00166E18"/>
    <w:pPr>
      <w:ind w:left="227" w:hanging="227"/>
    </w:pPr>
    <w:rPr>
      <w:sz w:val="14"/>
      <w:szCs w:val="22"/>
    </w:rPr>
  </w:style>
  <w:style w:type="paragraph" w:customStyle="1" w:styleId="TableText">
    <w:name w:val="Table Text"/>
    <w:basedOn w:val="a"/>
    <w:rsid w:val="00166E18"/>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166E18"/>
    <w:pPr>
      <w:outlineLvl w:val="2"/>
    </w:pPr>
  </w:style>
  <w:style w:type="paragraph" w:customStyle="1" w:styleId="TableBlock">
    <w:name w:val="Table Block"/>
    <w:basedOn w:val="TableText"/>
    <w:rsid w:val="00166E18"/>
    <w:pPr>
      <w:jc w:val="both"/>
    </w:pPr>
  </w:style>
  <w:style w:type="paragraph" w:customStyle="1" w:styleId="TableHead">
    <w:name w:val="Table Head"/>
    <w:basedOn w:val="TableText"/>
    <w:rsid w:val="00166E18"/>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166E18"/>
    <w:pPr>
      <w:outlineLvl w:val="9"/>
    </w:pPr>
  </w:style>
  <w:style w:type="paragraph" w:customStyle="1" w:styleId="Hesber">
    <w:name w:val="Hesber"/>
    <w:basedOn w:val="a"/>
    <w:rsid w:val="00166E18"/>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166E18"/>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166E18"/>
    <w:rPr>
      <w:vertAlign w:val="superscript"/>
    </w:rPr>
  </w:style>
  <w:style w:type="paragraph" w:customStyle="1" w:styleId="HesberHeading">
    <w:name w:val="Hesber Heading"/>
    <w:basedOn w:val="Hesber"/>
    <w:rsid w:val="00166E18"/>
    <w:pPr>
      <w:tabs>
        <w:tab w:val="left" w:pos="624"/>
        <w:tab w:val="left" w:pos="1247"/>
      </w:tabs>
    </w:pPr>
    <w:rPr>
      <w:b/>
      <w:bCs/>
    </w:rPr>
  </w:style>
  <w:style w:type="paragraph" w:customStyle="1" w:styleId="HesberWriters">
    <w:name w:val="Hesber Writers"/>
    <w:basedOn w:val="Hesber"/>
    <w:rsid w:val="00166E18"/>
    <w:pPr>
      <w:spacing w:before="120" w:after="120"/>
      <w:ind w:left="1418"/>
      <w:jc w:val="right"/>
    </w:pPr>
    <w:rPr>
      <w:b/>
      <w:bCs/>
    </w:rPr>
  </w:style>
  <w:style w:type="paragraph" w:customStyle="1" w:styleId="Hesber1st">
    <w:name w:val="Hesber 1st"/>
    <w:basedOn w:val="Hesber"/>
    <w:rsid w:val="00166E18"/>
    <w:pPr>
      <w:tabs>
        <w:tab w:val="left" w:pos="680"/>
        <w:tab w:val="left" w:pos="1020"/>
      </w:tabs>
      <w:ind w:firstLine="0"/>
    </w:pPr>
  </w:style>
  <w:style w:type="character" w:styleId="a7">
    <w:name w:val="endnote reference"/>
    <w:basedOn w:val="a0"/>
    <w:semiHidden/>
    <w:rsid w:val="00166E18"/>
    <w:rPr>
      <w:vertAlign w:val="superscript"/>
    </w:rPr>
  </w:style>
  <w:style w:type="paragraph" w:customStyle="1" w:styleId="TableBlockOutdent">
    <w:name w:val="Table BlockOutdent"/>
    <w:basedOn w:val="TableBlock"/>
    <w:rsid w:val="00166E18"/>
    <w:pPr>
      <w:ind w:left="624" w:hanging="624"/>
    </w:pPr>
  </w:style>
  <w:style w:type="paragraph" w:styleId="a8">
    <w:name w:val="header"/>
    <w:basedOn w:val="a"/>
    <w:rsid w:val="00166E18"/>
    <w:pPr>
      <w:tabs>
        <w:tab w:val="center" w:pos="4153"/>
        <w:tab w:val="right" w:pos="8306"/>
      </w:tabs>
    </w:pPr>
  </w:style>
  <w:style w:type="paragraph" w:styleId="a9">
    <w:name w:val="footer"/>
    <w:basedOn w:val="a"/>
    <w:rsid w:val="00166E18"/>
    <w:pPr>
      <w:tabs>
        <w:tab w:val="center" w:pos="4153"/>
        <w:tab w:val="right" w:pos="8306"/>
      </w:tabs>
    </w:pPr>
  </w:style>
  <w:style w:type="paragraph" w:customStyle="1" w:styleId="HeadDivreiHesber">
    <w:name w:val="Head DivreiHesber"/>
    <w:basedOn w:val="a"/>
    <w:rsid w:val="00166E18"/>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166E18"/>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166E18"/>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6D30C8"/>
    <w:rPr>
      <w:rFonts w:ascii="Arial" w:eastAsia="Arial Unicode MS" w:hAnsi="Arial" w:cs="David"/>
      <w:snapToGrid w:val="0"/>
      <w:sz w:val="14"/>
    </w:rPr>
  </w:style>
  <w:style w:type="character" w:customStyle="1" w:styleId="10">
    <w:name w:val="כותרת 1 תו"/>
    <w:basedOn w:val="a0"/>
    <w:link w:val="1"/>
    <w:uiPriority w:val="9"/>
    <w:rsid w:val="00166E18"/>
    <w:rPr>
      <w:rFonts w:asciiTheme="majorHAnsi" w:eastAsiaTheme="majorEastAsia" w:hAnsiTheme="majorHAnsi" w:cs="David"/>
      <w:bCs/>
      <w:sz w:val="32"/>
      <w:szCs w:val="36"/>
    </w:rPr>
  </w:style>
  <w:style w:type="character" w:customStyle="1" w:styleId="20">
    <w:name w:val="כותרת 2 תו"/>
    <w:basedOn w:val="a0"/>
    <w:link w:val="2"/>
    <w:rsid w:val="00166E18"/>
    <w:rPr>
      <w:rFonts w:asciiTheme="majorHAnsi" w:eastAsiaTheme="majorEastAsia" w:hAnsiTheme="majorHAnsi" w:cs="David"/>
      <w:bCs/>
      <w:sz w:val="26"/>
      <w:szCs w:val="36"/>
      <w:u w:val="single"/>
    </w:rPr>
  </w:style>
  <w:style w:type="character" w:customStyle="1" w:styleId="30">
    <w:name w:val="כותרת 3 תו"/>
    <w:basedOn w:val="a0"/>
    <w:link w:val="3"/>
    <w:rsid w:val="00166E18"/>
    <w:rPr>
      <w:rFonts w:asciiTheme="majorHAnsi" w:eastAsiaTheme="majorEastAsia" w:hAnsiTheme="majorHAnsi" w:cs="David"/>
      <w:sz w:val="24"/>
      <w:szCs w:val="28"/>
      <w:u w:val="double"/>
    </w:rPr>
  </w:style>
  <w:style w:type="character" w:customStyle="1" w:styleId="40">
    <w:name w:val="כותרת 4 תו"/>
    <w:basedOn w:val="a0"/>
    <w:link w:val="4"/>
    <w:uiPriority w:val="9"/>
    <w:rsid w:val="00166E18"/>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166E18"/>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166E18"/>
    <w:pPr>
      <w:widowControl/>
      <w:spacing w:before="120" w:after="120"/>
      <w:outlineLvl w:val="9"/>
    </w:pPr>
    <w:rPr>
      <w:rtl/>
      <w:cs/>
    </w:rPr>
  </w:style>
  <w:style w:type="paragraph" w:styleId="TOC1">
    <w:name w:val="toc 1"/>
    <w:basedOn w:val="a"/>
    <w:next w:val="a"/>
    <w:autoRedefine/>
    <w:uiPriority w:val="39"/>
    <w:unhideWhenUsed/>
    <w:rsid w:val="00166E18"/>
    <w:pPr>
      <w:tabs>
        <w:tab w:val="right" w:leader="dot" w:pos="9629"/>
      </w:tabs>
      <w:spacing w:after="100"/>
    </w:pPr>
    <w:rPr>
      <w:bCs/>
      <w:szCs w:val="22"/>
    </w:rPr>
  </w:style>
  <w:style w:type="paragraph" w:styleId="TOC2">
    <w:name w:val="toc 2"/>
    <w:basedOn w:val="a"/>
    <w:next w:val="a"/>
    <w:uiPriority w:val="39"/>
    <w:unhideWhenUsed/>
    <w:rsid w:val="00166E18"/>
    <w:pPr>
      <w:tabs>
        <w:tab w:val="right" w:leader="dot" w:pos="9628"/>
      </w:tabs>
      <w:spacing w:after="100"/>
    </w:pPr>
    <w:rPr>
      <w:szCs w:val="22"/>
    </w:rPr>
  </w:style>
  <w:style w:type="character" w:styleId="Hyperlink">
    <w:name w:val="Hyperlink"/>
    <w:basedOn w:val="a0"/>
    <w:uiPriority w:val="99"/>
    <w:unhideWhenUsed/>
    <w:rsid w:val="00166E18"/>
    <w:rPr>
      <w:color w:val="0000FF" w:themeColor="hyperlink"/>
      <w:u w:val="single"/>
    </w:rPr>
  </w:style>
  <w:style w:type="paragraph" w:styleId="TOC3">
    <w:name w:val="toc 3"/>
    <w:basedOn w:val="a"/>
    <w:next w:val="a"/>
    <w:uiPriority w:val="39"/>
    <w:unhideWhenUsed/>
    <w:rsid w:val="00166E18"/>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166E18"/>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166E18"/>
    <w:pPr>
      <w:tabs>
        <w:tab w:val="right" w:leader="dot" w:pos="9628"/>
      </w:tabs>
      <w:spacing w:after="100"/>
      <w:ind w:left="567"/>
    </w:pPr>
    <w:rPr>
      <w:szCs w:val="22"/>
    </w:rPr>
  </w:style>
  <w:style w:type="paragraph" w:styleId="TOC6">
    <w:name w:val="toc 6"/>
    <w:basedOn w:val="a"/>
    <w:next w:val="a"/>
    <w:autoRedefine/>
    <w:semiHidden/>
    <w:unhideWhenUsed/>
    <w:rsid w:val="00166E18"/>
    <w:pPr>
      <w:spacing w:after="100"/>
      <w:ind w:left="850"/>
    </w:pPr>
  </w:style>
  <w:style w:type="paragraph" w:styleId="TOC7">
    <w:name w:val="toc 7"/>
    <w:basedOn w:val="a"/>
    <w:next w:val="a"/>
    <w:autoRedefine/>
    <w:semiHidden/>
    <w:unhideWhenUsed/>
    <w:rsid w:val="00166E18"/>
    <w:pPr>
      <w:spacing w:after="100"/>
      <w:ind w:left="1020"/>
    </w:pPr>
  </w:style>
  <w:style w:type="paragraph" w:styleId="TOC8">
    <w:name w:val="toc 8"/>
    <w:basedOn w:val="a"/>
    <w:next w:val="a"/>
    <w:autoRedefine/>
    <w:semiHidden/>
    <w:unhideWhenUsed/>
    <w:rsid w:val="00166E18"/>
    <w:pPr>
      <w:spacing w:after="100"/>
      <w:ind w:left="1190"/>
    </w:pPr>
  </w:style>
  <w:style w:type="paragraph" w:styleId="TOC9">
    <w:name w:val="toc 9"/>
    <w:basedOn w:val="a"/>
    <w:next w:val="a"/>
    <w:autoRedefine/>
    <w:semiHidden/>
    <w:unhideWhenUsed/>
    <w:rsid w:val="00166E18"/>
    <w:pPr>
      <w:spacing w:after="100"/>
      <w:ind w:left="1360"/>
    </w:pPr>
  </w:style>
  <w:style w:type="paragraph" w:customStyle="1" w:styleId="TableHead2">
    <w:name w:val="Table Head2"/>
    <w:basedOn w:val="TableHead"/>
    <w:qFormat/>
    <w:rsid w:val="00166E18"/>
    <w:pPr>
      <w:outlineLvl w:val="9"/>
    </w:pPr>
  </w:style>
  <w:style w:type="paragraph" w:customStyle="1" w:styleId="TableSideHeading2">
    <w:name w:val="Table SideHeading2"/>
    <w:basedOn w:val="TableSideHeading"/>
    <w:autoRedefine/>
    <w:qFormat/>
    <w:rsid w:val="00166E18"/>
    <w:pPr>
      <w:keepLines w:val="0"/>
      <w:outlineLvl w:val="9"/>
    </w:pPr>
  </w:style>
  <w:style w:type="paragraph" w:customStyle="1" w:styleId="0">
    <w:name w:val="סגנון שורה ראשונה:  0  ס''מ"/>
    <w:basedOn w:val="2"/>
    <w:rsid w:val="00166E18"/>
    <w:rPr>
      <w:rFonts w:eastAsia="Times New Roman"/>
    </w:rPr>
  </w:style>
  <w:style w:type="paragraph" w:styleId="af">
    <w:name w:val="List Paragraph"/>
    <w:basedOn w:val="a"/>
    <w:uiPriority w:val="34"/>
    <w:qFormat/>
    <w:rsid w:val="00166E18"/>
    <w:pPr>
      <w:widowControl/>
      <w:spacing w:line="259" w:lineRule="auto"/>
    </w:pPr>
    <w:rPr>
      <w:rFonts w:asciiTheme="minorHAnsi" w:hAnsiTheme="minorHAnsi"/>
      <w:sz w:val="22"/>
    </w:rPr>
  </w:style>
  <w:style w:type="table" w:styleId="af0">
    <w:name w:val="Table Grid"/>
    <w:basedOn w:val="a1"/>
    <w:rsid w:val="00166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166E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166E1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166E18"/>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166E18"/>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6C0D1-3F69-4A24-8395-CA95ED1E6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1E8B5E1D-2EA5-4877-B24B-7A7551A89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584</Words>
  <Characters>2920</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2019-05-21T07:52:00Z</cp:lastPrinted>
  <dcterms:created xsi:type="dcterms:W3CDTF">2015-04-20T09:58:00Z</dcterms:created>
  <dcterms:modified xsi:type="dcterms:W3CDTF">2019-05-21T07:52:00Z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2078951</vt:r8>
  </property>
</Properties>
</file>